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88" w:rsidRDefault="00D50888" w:rsidP="00D50888">
      <w:pPr>
        <w:pStyle w:val="Default"/>
        <w:jc w:val="center"/>
        <w:rPr>
          <w:b/>
          <w:bCs/>
          <w:szCs w:val="18"/>
        </w:rPr>
      </w:pPr>
      <w:r w:rsidRPr="00D50888">
        <w:rPr>
          <w:b/>
          <w:bCs/>
          <w:szCs w:val="18"/>
        </w:rPr>
        <w:t xml:space="preserve">URL´s de Producción </w:t>
      </w:r>
      <w:r w:rsidR="000D286C">
        <w:rPr>
          <w:b/>
          <w:bCs/>
          <w:szCs w:val="18"/>
        </w:rPr>
        <w:t>SIRA - VUCEM</w:t>
      </w:r>
    </w:p>
    <w:p w:rsidR="007E034E" w:rsidRDefault="007E034E" w:rsidP="00D50888">
      <w:pPr>
        <w:pStyle w:val="Default"/>
        <w:jc w:val="center"/>
        <w:rPr>
          <w:b/>
          <w:bCs/>
          <w:szCs w:val="18"/>
        </w:rPr>
      </w:pPr>
    </w:p>
    <w:p w:rsidR="007E034E" w:rsidRPr="00D50888" w:rsidRDefault="007E034E" w:rsidP="00D50888">
      <w:pPr>
        <w:pStyle w:val="Default"/>
        <w:jc w:val="center"/>
        <w:rPr>
          <w:b/>
          <w:bCs/>
          <w:szCs w:val="18"/>
        </w:rPr>
      </w:pPr>
    </w:p>
    <w:p w:rsidR="00D50888" w:rsidRDefault="00D50888" w:rsidP="00D50888">
      <w:pPr>
        <w:pStyle w:val="Default"/>
        <w:jc w:val="both"/>
        <w:rPr>
          <w:bCs/>
          <w:sz w:val="18"/>
          <w:szCs w:val="18"/>
        </w:rPr>
      </w:pPr>
    </w:p>
    <w:p w:rsidR="00D50888" w:rsidRPr="00D50888" w:rsidRDefault="00D50888" w:rsidP="00D50888">
      <w:pPr>
        <w:pStyle w:val="Default"/>
        <w:jc w:val="both"/>
        <w:rPr>
          <w:bCs/>
          <w:sz w:val="20"/>
          <w:szCs w:val="18"/>
        </w:rPr>
      </w:pPr>
      <w:r w:rsidRPr="00D50888">
        <w:rPr>
          <w:bCs/>
          <w:sz w:val="20"/>
          <w:szCs w:val="18"/>
        </w:rPr>
        <w:t>Las direcciones de los WSDL publicados en el ambiente de</w:t>
      </w:r>
      <w:r w:rsidR="00036EDC">
        <w:rPr>
          <w:bCs/>
          <w:sz w:val="20"/>
          <w:szCs w:val="18"/>
        </w:rPr>
        <w:t xml:space="preserve"> producción son las siguientes. Cabe mencionar que </w:t>
      </w:r>
      <w:r w:rsidR="005220CB">
        <w:rPr>
          <w:bCs/>
          <w:sz w:val="20"/>
          <w:szCs w:val="18"/>
        </w:rPr>
        <w:t>tenemos dos opciones la prime</w:t>
      </w:r>
      <w:r w:rsidR="00036EDC">
        <w:rPr>
          <w:bCs/>
          <w:sz w:val="20"/>
          <w:szCs w:val="18"/>
        </w:rPr>
        <w:t xml:space="preserve">ra apunta a las IPS y tiene un certificado autofirmado por lo que deben configurar su servidor en formato UTC 0 </w:t>
      </w:r>
      <w:r w:rsidR="005220CB">
        <w:rPr>
          <w:bCs/>
          <w:sz w:val="20"/>
          <w:szCs w:val="18"/>
        </w:rPr>
        <w:t>y la segunda opción ya cuenta con el dominio de VUCEM-SAT</w:t>
      </w:r>
      <w:r w:rsidR="00036EDC">
        <w:rPr>
          <w:bCs/>
          <w:sz w:val="20"/>
          <w:szCs w:val="18"/>
        </w:rPr>
        <w:t xml:space="preserve"> por lo que es más sencilla</w:t>
      </w:r>
      <w:r w:rsidR="005220CB">
        <w:rPr>
          <w:bCs/>
          <w:sz w:val="20"/>
          <w:szCs w:val="18"/>
        </w:rPr>
        <w:t>.</w:t>
      </w:r>
    </w:p>
    <w:p w:rsidR="00D50888" w:rsidRDefault="00D50888" w:rsidP="00D50888">
      <w:pPr>
        <w:pStyle w:val="Default"/>
        <w:jc w:val="both"/>
        <w:rPr>
          <w:bCs/>
          <w:sz w:val="20"/>
          <w:szCs w:val="18"/>
        </w:rPr>
      </w:pPr>
    </w:p>
    <w:p w:rsidR="00D50888" w:rsidRDefault="005220CB" w:rsidP="00D50888">
      <w:pPr>
        <w:pStyle w:val="Default"/>
        <w:jc w:val="both"/>
        <w:rPr>
          <w:b/>
          <w:bCs/>
          <w:sz w:val="20"/>
          <w:szCs w:val="18"/>
        </w:rPr>
      </w:pPr>
      <w:r w:rsidRPr="00036EDC">
        <w:rPr>
          <w:b/>
          <w:bCs/>
          <w:sz w:val="20"/>
          <w:szCs w:val="18"/>
        </w:rPr>
        <w:t>Opción 1</w:t>
      </w:r>
    </w:p>
    <w:p w:rsidR="00036EDC" w:rsidRPr="00036EDC" w:rsidRDefault="00036EDC" w:rsidP="00D50888">
      <w:pPr>
        <w:pStyle w:val="Default"/>
        <w:jc w:val="both"/>
        <w:rPr>
          <w:b/>
          <w:bCs/>
          <w:sz w:val="20"/>
          <w:szCs w:val="18"/>
        </w:rPr>
      </w:pPr>
    </w:p>
    <w:p w:rsidR="00D50888" w:rsidRPr="00D50888" w:rsidRDefault="00D50888" w:rsidP="00036EDC">
      <w:pPr>
        <w:pStyle w:val="Default"/>
        <w:rPr>
          <w:bCs/>
          <w:sz w:val="20"/>
          <w:szCs w:val="18"/>
        </w:rPr>
      </w:pPr>
    </w:p>
    <w:p w:rsidR="00D50888" w:rsidRPr="00036EDC" w:rsidRDefault="00D50888" w:rsidP="00036EDC">
      <w:pPr>
        <w:pStyle w:val="Default"/>
        <w:numPr>
          <w:ilvl w:val="0"/>
          <w:numId w:val="1"/>
        </w:numPr>
        <w:rPr>
          <w:bCs/>
          <w:sz w:val="20"/>
          <w:szCs w:val="18"/>
        </w:rPr>
      </w:pPr>
      <w:r w:rsidRPr="00036EDC">
        <w:rPr>
          <w:bCs/>
          <w:sz w:val="20"/>
          <w:szCs w:val="18"/>
        </w:rPr>
        <w:t>Ingresos</w:t>
      </w:r>
    </w:p>
    <w:p w:rsidR="00D50888" w:rsidRPr="00036EDC" w:rsidRDefault="004A238E" w:rsidP="00036EDC">
      <w:pPr>
        <w:ind w:firstLine="360"/>
        <w:jc w:val="center"/>
      </w:pPr>
      <w:hyperlink r:id="rId7" w:history="1">
        <w:r w:rsidR="00D50888" w:rsidRPr="00036EDC">
          <w:rPr>
            <w:rStyle w:val="Hipervnculo"/>
            <w:rFonts w:eastAsiaTheme="majorEastAsia"/>
          </w:rPr>
          <w:t>https://189.206.60.116/OperacionEntradaImpl/OperacionEntradaService?wsdl</w:t>
        </w:r>
      </w:hyperlink>
    </w:p>
    <w:p w:rsidR="00D50888" w:rsidRPr="00036EDC" w:rsidRDefault="00D50888" w:rsidP="00036EDC">
      <w:pPr>
        <w:jc w:val="center"/>
      </w:pPr>
    </w:p>
    <w:p w:rsidR="00D50888" w:rsidRPr="00036EDC" w:rsidRDefault="00D50888" w:rsidP="00036EDC">
      <w:pPr>
        <w:pStyle w:val="Default"/>
        <w:rPr>
          <w:bCs/>
          <w:sz w:val="20"/>
          <w:szCs w:val="18"/>
        </w:rPr>
      </w:pPr>
    </w:p>
    <w:p w:rsidR="00D50888" w:rsidRPr="00036EDC" w:rsidRDefault="00D50888" w:rsidP="00036EDC">
      <w:pPr>
        <w:pStyle w:val="Default"/>
        <w:numPr>
          <w:ilvl w:val="0"/>
          <w:numId w:val="4"/>
        </w:numPr>
        <w:rPr>
          <w:bCs/>
          <w:sz w:val="20"/>
          <w:szCs w:val="18"/>
        </w:rPr>
      </w:pPr>
      <w:r w:rsidRPr="00036EDC">
        <w:rPr>
          <w:bCs/>
          <w:sz w:val="20"/>
          <w:szCs w:val="18"/>
        </w:rPr>
        <w:t>Consulta de manifiesto – (Servicio 1)</w:t>
      </w:r>
    </w:p>
    <w:p w:rsidR="00D50888" w:rsidRPr="00036EDC" w:rsidRDefault="004A238E" w:rsidP="00036EDC">
      <w:pPr>
        <w:ind w:left="360"/>
        <w:jc w:val="center"/>
      </w:pPr>
      <w:hyperlink r:id="rId8" w:history="1">
        <w:r w:rsidR="00D50888" w:rsidRPr="00036EDC">
          <w:rPr>
            <w:rStyle w:val="Hipervnculo"/>
            <w:rFonts w:eastAsiaTheme="majorEastAsia"/>
          </w:rPr>
          <w:t>https://189.206.60.116/recintos/ConsultaManifiestos?wsdl</w:t>
        </w:r>
      </w:hyperlink>
    </w:p>
    <w:p w:rsidR="00D50888" w:rsidRPr="00036EDC" w:rsidRDefault="00D50888" w:rsidP="00036EDC">
      <w:pPr>
        <w:pStyle w:val="Default"/>
        <w:jc w:val="center"/>
        <w:rPr>
          <w:bCs/>
          <w:sz w:val="18"/>
          <w:szCs w:val="18"/>
        </w:rPr>
      </w:pPr>
    </w:p>
    <w:p w:rsidR="00D50888" w:rsidRPr="00036EDC" w:rsidRDefault="00D50888" w:rsidP="00036EDC">
      <w:pPr>
        <w:pStyle w:val="Default"/>
        <w:ind w:left="720"/>
        <w:jc w:val="center"/>
        <w:rPr>
          <w:bCs/>
          <w:sz w:val="18"/>
          <w:szCs w:val="18"/>
        </w:rPr>
      </w:pPr>
    </w:p>
    <w:p w:rsidR="00D50888" w:rsidRPr="00036EDC" w:rsidRDefault="00D50888" w:rsidP="00036EDC">
      <w:pPr>
        <w:pStyle w:val="Default"/>
        <w:ind w:left="720"/>
        <w:jc w:val="center"/>
        <w:rPr>
          <w:bCs/>
          <w:sz w:val="18"/>
          <w:szCs w:val="18"/>
        </w:rPr>
      </w:pPr>
    </w:p>
    <w:p w:rsidR="00D50888" w:rsidRPr="00036EDC" w:rsidRDefault="00D50888" w:rsidP="00036EDC">
      <w:pPr>
        <w:pStyle w:val="Default"/>
        <w:numPr>
          <w:ilvl w:val="0"/>
          <w:numId w:val="4"/>
        </w:numPr>
        <w:rPr>
          <w:bCs/>
          <w:sz w:val="20"/>
          <w:szCs w:val="18"/>
        </w:rPr>
      </w:pPr>
      <w:r w:rsidRPr="00036EDC">
        <w:rPr>
          <w:bCs/>
          <w:sz w:val="20"/>
          <w:szCs w:val="18"/>
        </w:rPr>
        <w:t>Consulta de guía (Servicio 2)</w:t>
      </w:r>
    </w:p>
    <w:p w:rsidR="00D50888" w:rsidRPr="00036EDC" w:rsidRDefault="004A238E" w:rsidP="00036EDC">
      <w:pPr>
        <w:ind w:left="360"/>
        <w:jc w:val="center"/>
      </w:pPr>
      <w:hyperlink r:id="rId9" w:history="1">
        <w:r w:rsidR="00D50888" w:rsidRPr="00036EDC">
          <w:rPr>
            <w:rStyle w:val="Hipervnculo"/>
            <w:rFonts w:eastAsiaTheme="majorEastAsia"/>
          </w:rPr>
          <w:t>https://189.206.60.116/recintos/ConsultaDetalleGuia?wsdl</w:t>
        </w:r>
      </w:hyperlink>
    </w:p>
    <w:p w:rsidR="007E034E" w:rsidRDefault="00D50888" w:rsidP="005220CB">
      <w:pPr>
        <w:pStyle w:val="Default"/>
        <w:jc w:val="both"/>
        <w:rPr>
          <w:b/>
          <w:bCs/>
          <w:sz w:val="20"/>
          <w:szCs w:val="18"/>
        </w:rPr>
      </w:pPr>
      <w:r w:rsidRPr="00D50888">
        <w:rPr>
          <w:sz w:val="20"/>
          <w:szCs w:val="18"/>
        </w:rPr>
        <w:br/>
      </w:r>
    </w:p>
    <w:p w:rsidR="00330EC2" w:rsidRPr="005220CB" w:rsidRDefault="005220CB" w:rsidP="005220CB">
      <w:pPr>
        <w:pStyle w:val="Default"/>
        <w:jc w:val="both"/>
        <w:rPr>
          <w:b/>
          <w:sz w:val="28"/>
        </w:rPr>
      </w:pPr>
      <w:r w:rsidRPr="005220CB">
        <w:rPr>
          <w:b/>
          <w:bCs/>
          <w:sz w:val="20"/>
          <w:szCs w:val="18"/>
        </w:rPr>
        <w:t>Opción 2</w:t>
      </w:r>
    </w:p>
    <w:p w:rsidR="00D10964" w:rsidRDefault="00D10964" w:rsidP="005220CB">
      <w:pPr>
        <w:rPr>
          <w:sz w:val="28"/>
        </w:rPr>
      </w:pPr>
    </w:p>
    <w:p w:rsidR="00D10964" w:rsidRPr="00D50888" w:rsidRDefault="00D10964" w:rsidP="00D10964">
      <w:pPr>
        <w:pStyle w:val="Default"/>
        <w:jc w:val="both"/>
        <w:rPr>
          <w:bCs/>
          <w:sz w:val="20"/>
          <w:szCs w:val="18"/>
        </w:rPr>
      </w:pPr>
    </w:p>
    <w:p w:rsidR="00D10964" w:rsidRPr="00D50888" w:rsidRDefault="00D10964" w:rsidP="00D10964">
      <w:pPr>
        <w:pStyle w:val="Default"/>
        <w:numPr>
          <w:ilvl w:val="0"/>
          <w:numId w:val="1"/>
        </w:numPr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Ingresos </w:t>
      </w:r>
      <w:r w:rsidR="007E034E" w:rsidRPr="007E034E">
        <w:rPr>
          <w:b/>
          <w:bCs/>
          <w:sz w:val="20"/>
          <w:szCs w:val="18"/>
        </w:rPr>
        <w:t>(FASE 1)</w:t>
      </w:r>
    </w:p>
    <w:p w:rsidR="00D10964" w:rsidRPr="00036EDC" w:rsidRDefault="00D10964" w:rsidP="00036EDC">
      <w:pPr>
        <w:jc w:val="center"/>
      </w:pPr>
    </w:p>
    <w:p w:rsidR="00D10964" w:rsidRDefault="004A238E" w:rsidP="00036EDC">
      <w:pPr>
        <w:ind w:left="360"/>
        <w:jc w:val="center"/>
        <w:rPr>
          <w:rStyle w:val="Hipervnculo"/>
          <w:rFonts w:eastAsiaTheme="majorEastAsia"/>
        </w:rPr>
      </w:pPr>
      <w:hyperlink r:id="rId10" w:history="1">
        <w:r w:rsidR="00D10964" w:rsidRPr="00036EDC">
          <w:rPr>
            <w:rStyle w:val="Hipervnculo"/>
            <w:rFonts w:eastAsiaTheme="majorEastAsia"/>
          </w:rPr>
          <w:t>https://privados.ventanillaunica.gob.mx/OperacionEntradaImpl/OperacionEntradaService?wsdl</w:t>
        </w:r>
      </w:hyperlink>
    </w:p>
    <w:p w:rsidR="007E034E" w:rsidRDefault="007E034E" w:rsidP="00036EDC">
      <w:pPr>
        <w:ind w:left="360"/>
        <w:jc w:val="center"/>
        <w:rPr>
          <w:rStyle w:val="Hipervnculo"/>
          <w:rFonts w:eastAsiaTheme="majorEastAsia"/>
        </w:rPr>
      </w:pPr>
    </w:p>
    <w:p w:rsidR="007E034E" w:rsidRPr="00036EDC" w:rsidRDefault="007E034E" w:rsidP="007E034E">
      <w:pPr>
        <w:pStyle w:val="Defaul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036EDC">
        <w:rPr>
          <w:bCs/>
          <w:sz w:val="18"/>
          <w:szCs w:val="18"/>
        </w:rPr>
        <w:t>Consulta de manifiesto – (Servicio 1)</w:t>
      </w:r>
      <w:r>
        <w:rPr>
          <w:bCs/>
          <w:sz w:val="18"/>
          <w:szCs w:val="18"/>
        </w:rPr>
        <w:t xml:space="preserve"> </w:t>
      </w:r>
      <w:r w:rsidRPr="007E034E">
        <w:rPr>
          <w:b/>
          <w:bCs/>
          <w:sz w:val="18"/>
          <w:szCs w:val="18"/>
        </w:rPr>
        <w:t>(FASE 1)</w:t>
      </w:r>
    </w:p>
    <w:p w:rsidR="007E034E" w:rsidRPr="00036EDC" w:rsidRDefault="007E034E" w:rsidP="007E034E">
      <w:pPr>
        <w:ind w:left="360"/>
        <w:jc w:val="center"/>
      </w:pPr>
      <w:hyperlink r:id="rId11" w:history="1">
        <w:r w:rsidRPr="00036EDC">
          <w:rPr>
            <w:sz w:val="22"/>
          </w:rPr>
          <w:t xml:space="preserve"> </w:t>
        </w:r>
        <w:r w:rsidRPr="00036EDC">
          <w:rPr>
            <w:rStyle w:val="Hipervnculo"/>
            <w:rFonts w:eastAsiaTheme="majorEastAsia"/>
          </w:rPr>
          <w:t>https://privados.ventanillaunica.gob.mx /ConsultaManifiestos?wsdl</w:t>
        </w:r>
      </w:hyperlink>
    </w:p>
    <w:p w:rsidR="007E034E" w:rsidRPr="00036EDC" w:rsidRDefault="007E034E" w:rsidP="007E034E">
      <w:pPr>
        <w:pStyle w:val="Default"/>
        <w:jc w:val="both"/>
        <w:rPr>
          <w:bCs/>
          <w:sz w:val="18"/>
          <w:szCs w:val="18"/>
        </w:rPr>
      </w:pPr>
    </w:p>
    <w:p w:rsidR="007E034E" w:rsidRPr="00036EDC" w:rsidRDefault="007E034E" w:rsidP="007E034E">
      <w:pPr>
        <w:pStyle w:val="Default"/>
        <w:ind w:left="720"/>
        <w:jc w:val="both"/>
        <w:rPr>
          <w:bCs/>
          <w:sz w:val="18"/>
          <w:szCs w:val="18"/>
        </w:rPr>
      </w:pPr>
    </w:p>
    <w:p w:rsidR="007E034E" w:rsidRPr="00036EDC" w:rsidRDefault="007E034E" w:rsidP="007E034E">
      <w:pPr>
        <w:pStyle w:val="Default"/>
        <w:ind w:left="720"/>
        <w:jc w:val="both"/>
        <w:rPr>
          <w:bCs/>
          <w:sz w:val="18"/>
          <w:szCs w:val="18"/>
        </w:rPr>
      </w:pPr>
    </w:p>
    <w:p w:rsidR="007E034E" w:rsidRPr="00036EDC" w:rsidRDefault="007E034E" w:rsidP="007E034E">
      <w:pPr>
        <w:pStyle w:val="Default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036EDC">
        <w:rPr>
          <w:bCs/>
          <w:sz w:val="18"/>
          <w:szCs w:val="18"/>
        </w:rPr>
        <w:t>Consulta de guía (Servicio 2)</w:t>
      </w:r>
      <w:r>
        <w:rPr>
          <w:bCs/>
          <w:sz w:val="18"/>
          <w:szCs w:val="18"/>
        </w:rPr>
        <w:t xml:space="preserve"> </w:t>
      </w:r>
      <w:r w:rsidRPr="007E034E">
        <w:rPr>
          <w:b/>
          <w:bCs/>
          <w:sz w:val="18"/>
          <w:szCs w:val="18"/>
        </w:rPr>
        <w:t>(FASE 1)</w:t>
      </w:r>
    </w:p>
    <w:p w:rsidR="007E034E" w:rsidRPr="00036EDC" w:rsidRDefault="007E034E" w:rsidP="007E034E">
      <w:pPr>
        <w:ind w:left="360"/>
        <w:jc w:val="center"/>
      </w:pPr>
      <w:hyperlink r:id="rId12" w:history="1">
        <w:r w:rsidRPr="00036EDC">
          <w:rPr>
            <w:sz w:val="22"/>
          </w:rPr>
          <w:t xml:space="preserve"> </w:t>
        </w:r>
        <w:r w:rsidRPr="00036EDC">
          <w:rPr>
            <w:rStyle w:val="Hipervnculo"/>
            <w:rFonts w:eastAsiaTheme="majorEastAsia"/>
          </w:rPr>
          <w:t>https://privados.ventanillaunica.gob.mx /ConsultaDetalleGuia?wsdl</w:t>
        </w:r>
      </w:hyperlink>
    </w:p>
    <w:p w:rsidR="007E034E" w:rsidRDefault="007E034E" w:rsidP="007E034E">
      <w:pPr>
        <w:ind w:left="360"/>
        <w:jc w:val="center"/>
        <w:rPr>
          <w:rStyle w:val="Hipervnculo"/>
          <w:rFonts w:eastAsiaTheme="majorEastAsia"/>
        </w:rPr>
      </w:pPr>
      <w:r w:rsidRPr="00D50888">
        <w:rPr>
          <w:sz w:val="20"/>
          <w:szCs w:val="18"/>
        </w:rPr>
        <w:br/>
      </w:r>
    </w:p>
    <w:p w:rsidR="007E034E" w:rsidRDefault="007E034E" w:rsidP="007E034E">
      <w:pPr>
        <w:ind w:left="360"/>
        <w:jc w:val="center"/>
        <w:rPr>
          <w:rStyle w:val="Hipervnculo"/>
          <w:rFonts w:eastAsiaTheme="majorEastAsia"/>
        </w:rPr>
      </w:pPr>
    </w:p>
    <w:p w:rsidR="007E034E" w:rsidRDefault="007E034E" w:rsidP="007E034E">
      <w:pPr>
        <w:ind w:left="360"/>
        <w:jc w:val="center"/>
        <w:rPr>
          <w:rStyle w:val="Hipervnculo"/>
          <w:rFonts w:eastAsiaTheme="majorEastAsia"/>
        </w:rPr>
      </w:pPr>
    </w:p>
    <w:p w:rsidR="007E034E" w:rsidRDefault="007E034E" w:rsidP="007E034E">
      <w:pPr>
        <w:ind w:left="360"/>
        <w:jc w:val="center"/>
        <w:rPr>
          <w:rStyle w:val="Hipervnculo"/>
          <w:rFonts w:eastAsiaTheme="majorEastAsia"/>
        </w:rPr>
      </w:pPr>
    </w:p>
    <w:p w:rsidR="007E034E" w:rsidRDefault="007E034E" w:rsidP="007E034E">
      <w:pPr>
        <w:ind w:left="360"/>
        <w:jc w:val="center"/>
        <w:rPr>
          <w:rStyle w:val="Hipervnculo"/>
          <w:rFonts w:eastAsiaTheme="majorEastAsia"/>
        </w:rPr>
      </w:pPr>
    </w:p>
    <w:p w:rsidR="00526F48" w:rsidRDefault="00526F48" w:rsidP="00526F48">
      <w:pPr>
        <w:ind w:left="360"/>
        <w:rPr>
          <w:rStyle w:val="Hipervnculo"/>
          <w:rFonts w:eastAsiaTheme="majorEastAsia"/>
        </w:rPr>
      </w:pPr>
    </w:p>
    <w:p w:rsidR="00526F48" w:rsidRDefault="00526F48" w:rsidP="00526F48">
      <w:pPr>
        <w:pStyle w:val="Prrafodelista"/>
        <w:numPr>
          <w:ilvl w:val="0"/>
          <w:numId w:val="1"/>
        </w:numPr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</w:pPr>
      <w:r w:rsidRPr="00526F48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>Salidas</w:t>
      </w:r>
      <w:r w:rsidR="007E034E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 </w:t>
      </w:r>
      <w:r w:rsidR="007E034E" w:rsidRPr="007E034E"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  <w:t>(FASE 2)</w:t>
      </w:r>
    </w:p>
    <w:p w:rsidR="00526F48" w:rsidRDefault="00526F48" w:rsidP="00526F48">
      <w:pPr>
        <w:ind w:left="360"/>
      </w:pPr>
    </w:p>
    <w:p w:rsidR="00526F48" w:rsidRDefault="00526F48" w:rsidP="00526F48">
      <w:pPr>
        <w:ind w:left="360"/>
        <w:rPr>
          <w:rStyle w:val="Hipervnculo"/>
          <w:rFonts w:eastAsiaTheme="majorEastAsia"/>
        </w:rPr>
      </w:pPr>
      <w:hyperlink r:id="rId13" w:history="1">
        <w:r w:rsidRPr="00526F48">
          <w:rPr>
            <w:rStyle w:val="Hipervnculo"/>
            <w:rFonts w:eastAsiaTheme="majorEastAsia"/>
          </w:rPr>
          <w:t>https://privados.ventanillaunica.gob.mx/OperacionEntradaImpl/OperacionEntradaService?wsdl</w:t>
        </w:r>
      </w:hyperlink>
    </w:p>
    <w:p w:rsidR="007E034E" w:rsidRDefault="007E034E" w:rsidP="00526F48">
      <w:pPr>
        <w:ind w:left="360"/>
        <w:rPr>
          <w:rStyle w:val="Hipervnculo"/>
          <w:rFonts w:eastAsiaTheme="majorEastAsia"/>
        </w:rPr>
      </w:pPr>
    </w:p>
    <w:p w:rsidR="007E034E" w:rsidRDefault="007E034E" w:rsidP="007E034E">
      <w:pPr>
        <w:pStyle w:val="Prrafodelista"/>
        <w:numPr>
          <w:ilvl w:val="0"/>
          <w:numId w:val="1"/>
        </w:numPr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</w:pPr>
      <w:r w:rsidRPr="007E034E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>Cancelaciones</w:t>
      </w:r>
      <w:r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 </w:t>
      </w:r>
      <w:r w:rsidRPr="007E034E"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  <w:t>(FASE 2)</w:t>
      </w:r>
    </w:p>
    <w:p w:rsidR="007E034E" w:rsidRDefault="007E034E" w:rsidP="007E034E">
      <w:pPr>
        <w:ind w:left="360"/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</w:pPr>
    </w:p>
    <w:p w:rsidR="007E034E" w:rsidRPr="007E034E" w:rsidRDefault="007E034E" w:rsidP="007E034E">
      <w:pPr>
        <w:ind w:left="360"/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</w:pPr>
      <w:hyperlink r:id="rId14" w:history="1">
        <w:r>
          <w:rPr>
            <w:rStyle w:val="Hipervnculo"/>
          </w:rPr>
          <w:t>https://privados.ventanillaunica.gob.mx/CancelacionesImpl/CancelacionesService?wsdl</w:t>
        </w:r>
      </w:hyperlink>
    </w:p>
    <w:p w:rsidR="005220CB" w:rsidRPr="00D50888" w:rsidRDefault="005220CB" w:rsidP="00036EDC">
      <w:pPr>
        <w:jc w:val="center"/>
        <w:rPr>
          <w:sz w:val="28"/>
        </w:rPr>
      </w:pPr>
      <w:bookmarkStart w:id="0" w:name="_GoBack"/>
      <w:bookmarkEnd w:id="0"/>
    </w:p>
    <w:sectPr w:rsidR="005220CB" w:rsidRPr="00D50888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8E" w:rsidRDefault="004A238E" w:rsidP="00D50888">
      <w:r>
        <w:separator/>
      </w:r>
    </w:p>
  </w:endnote>
  <w:endnote w:type="continuationSeparator" w:id="0">
    <w:p w:rsidR="004A238E" w:rsidRDefault="004A238E" w:rsidP="00D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8E" w:rsidRDefault="004A238E" w:rsidP="00D50888">
      <w:r>
        <w:separator/>
      </w:r>
    </w:p>
  </w:footnote>
  <w:footnote w:type="continuationSeparator" w:id="0">
    <w:p w:rsidR="004A238E" w:rsidRDefault="004A238E" w:rsidP="00D5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88" w:rsidRDefault="00D5088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C9B07" wp14:editId="0AA452E8">
          <wp:simplePos x="0" y="0"/>
          <wp:positionH relativeFrom="page">
            <wp:align>right</wp:align>
          </wp:positionH>
          <wp:positionV relativeFrom="paragraph">
            <wp:posOffset>-48260</wp:posOffset>
          </wp:positionV>
          <wp:extent cx="7762875" cy="1285875"/>
          <wp:effectExtent l="0" t="0" r="9525" b="9525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4"/>
                  <a:stretch/>
                </pic:blipFill>
                <pic:spPr bwMode="auto">
                  <a:xfrm>
                    <a:off x="0" y="0"/>
                    <a:ext cx="776287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21A"/>
    <w:multiLevelType w:val="hybridMultilevel"/>
    <w:tmpl w:val="525C0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EF4"/>
    <w:multiLevelType w:val="hybridMultilevel"/>
    <w:tmpl w:val="A000D0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0468"/>
    <w:multiLevelType w:val="hybridMultilevel"/>
    <w:tmpl w:val="15386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A3359"/>
    <w:multiLevelType w:val="hybridMultilevel"/>
    <w:tmpl w:val="F6F48D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8"/>
    <w:rsid w:val="00036EDC"/>
    <w:rsid w:val="000D286C"/>
    <w:rsid w:val="00330EC2"/>
    <w:rsid w:val="00342B81"/>
    <w:rsid w:val="004A238E"/>
    <w:rsid w:val="005220CB"/>
    <w:rsid w:val="00526F48"/>
    <w:rsid w:val="006C6703"/>
    <w:rsid w:val="007E034E"/>
    <w:rsid w:val="00B96952"/>
    <w:rsid w:val="00D10964"/>
    <w:rsid w:val="00D50888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8C0F"/>
  <w15:chartTrackingRefBased/>
  <w15:docId w15:val="{7B1F0C63-B5F2-4BC8-8BF9-099DC10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88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0888"/>
    <w:rPr>
      <w:color w:val="0000FF"/>
      <w:u w:val="single"/>
    </w:rPr>
  </w:style>
  <w:style w:type="paragraph" w:customStyle="1" w:styleId="Default">
    <w:name w:val="Default"/>
    <w:rsid w:val="00D50888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50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888"/>
    <w:rPr>
      <w:rFonts w:ascii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50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888"/>
    <w:rPr>
      <w:rFonts w:ascii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2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.206.60.116/recintos/ConsultaManifiestos?wsdl" TargetMode="External"/><Relationship Id="rId13" Type="http://schemas.openxmlformats.org/officeDocument/2006/relationships/hyperlink" Target="https://privados.ventanillaunica.gob.mx/OperacionEntradaImpl/OperacionEntradaService?wsd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89.206.60.116/OperacionEntradaImpl/OperacionEntradaService?wsdl" TargetMode="External"/><Relationship Id="rId12" Type="http://schemas.openxmlformats.org/officeDocument/2006/relationships/hyperlink" Target="https://189.206.60.116/recintos/ConsultaDetalleGuia?ws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89.206.60.116/recintos/ConsultaManifiestos?wsd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ivados.ventanillaunica.gob.mx/OperacionEntradaImpl/OperacionEntradaService?w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89.206.60.116/recintos/ConsultaDetalleGuia?wsdl" TargetMode="External"/><Relationship Id="rId14" Type="http://schemas.openxmlformats.org/officeDocument/2006/relationships/hyperlink" Target="https://privados.ventanillaunica.gob.mx/CancelacionesImpl/CancelacionesService?ws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Montserrat Perez Lizardi</dc:creator>
  <cp:keywords/>
  <dc:description/>
  <cp:lastModifiedBy>Maria De Montserrat Perez Lizardi</cp:lastModifiedBy>
  <cp:revision>7</cp:revision>
  <dcterms:created xsi:type="dcterms:W3CDTF">2021-05-13T15:23:00Z</dcterms:created>
  <dcterms:modified xsi:type="dcterms:W3CDTF">2021-05-13T15:24:00Z</dcterms:modified>
</cp:coreProperties>
</file>